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98" w:rsidRPr="0083197C" w:rsidRDefault="0083197C" w:rsidP="00F55D00">
      <w:pPr>
        <w:spacing w:after="120"/>
        <w:jc w:val="center"/>
        <w:rPr>
          <w:b/>
          <w:color w:val="C00000"/>
          <w:sz w:val="32"/>
          <w:lang w:val="fr-CA"/>
        </w:rPr>
      </w:pPr>
      <w:r w:rsidRPr="0083197C">
        <w:rPr>
          <w:b/>
          <w:color w:val="C00000"/>
          <w:sz w:val="32"/>
          <w:lang w:val="fr-CA"/>
        </w:rPr>
        <w:t>SUPPRIMEZ CETTE PAGE AVANT DE LA SOUMETTRE</w:t>
      </w:r>
    </w:p>
    <w:p w:rsidR="0083197C" w:rsidRPr="0083197C" w:rsidRDefault="0083197C" w:rsidP="0083197C">
      <w:pPr>
        <w:pStyle w:val="ListParagraph"/>
        <w:numPr>
          <w:ilvl w:val="0"/>
          <w:numId w:val="17"/>
        </w:numPr>
        <w:ind w:left="851"/>
        <w:rPr>
          <w:color w:val="000000" w:themeColor="text1"/>
          <w:lang w:val="fr-CA"/>
        </w:rPr>
      </w:pPr>
      <w:r w:rsidRPr="0083197C">
        <w:rPr>
          <w:color w:val="000000" w:themeColor="text1"/>
          <w:lang w:val="fr-CA"/>
        </w:rPr>
        <w:t xml:space="preserve">À des fins d'évaluation par les pairs, aucune information sur l'auteur ne doit être incluse dans le résumé.  </w:t>
      </w:r>
    </w:p>
    <w:p w:rsidR="0083197C" w:rsidRPr="0083197C" w:rsidRDefault="0083197C" w:rsidP="0083197C">
      <w:pPr>
        <w:pStyle w:val="ListParagraph"/>
        <w:numPr>
          <w:ilvl w:val="0"/>
          <w:numId w:val="17"/>
        </w:numPr>
        <w:ind w:left="851"/>
        <w:rPr>
          <w:color w:val="000000" w:themeColor="text1"/>
          <w:lang w:val="fr-CA"/>
        </w:rPr>
      </w:pPr>
      <w:r w:rsidRPr="0083197C">
        <w:rPr>
          <w:color w:val="000000" w:themeColor="text1"/>
          <w:lang w:val="fr-CA"/>
        </w:rPr>
        <w:t>Les soumissions ne doivent pas dépasser une page (hors tableaux et graphiques).</w:t>
      </w:r>
    </w:p>
    <w:p w:rsidR="005A2398" w:rsidRPr="0083197C" w:rsidRDefault="0083197C" w:rsidP="0083197C">
      <w:pPr>
        <w:pStyle w:val="ListParagraph"/>
        <w:numPr>
          <w:ilvl w:val="0"/>
          <w:numId w:val="17"/>
        </w:numPr>
        <w:ind w:left="851"/>
        <w:rPr>
          <w:lang w:val="fr-CA"/>
        </w:rPr>
      </w:pPr>
      <w:r w:rsidRPr="0083197C">
        <w:rPr>
          <w:color w:val="000000" w:themeColor="text1"/>
          <w:lang w:val="fr-CA"/>
        </w:rPr>
        <w:t>Les auteurs présentateurs peuvent soumettre au maximum deux résumés.</w:t>
      </w:r>
    </w:p>
    <w:p w:rsidR="009B1774" w:rsidRPr="0083197C" w:rsidRDefault="009B1774" w:rsidP="0083197C">
      <w:pPr>
        <w:pStyle w:val="ListParagraph"/>
        <w:numPr>
          <w:ilvl w:val="0"/>
          <w:numId w:val="17"/>
        </w:numPr>
        <w:ind w:left="851"/>
        <w:rPr>
          <w:lang w:val="fr-CA"/>
        </w:rPr>
      </w:pPr>
      <w:r w:rsidRPr="0083197C">
        <w:rPr>
          <w:lang w:val="fr-CA"/>
        </w:rPr>
        <w:t>Les évaluateurs évaluent chaque résumé de recherche soumis selon les critères suivants :</w:t>
      </w:r>
    </w:p>
    <w:p w:rsidR="009B1774" w:rsidRPr="0083197C" w:rsidRDefault="009B1774" w:rsidP="009B1774">
      <w:pPr>
        <w:rPr>
          <w:sz w:val="10"/>
          <w:szCs w:val="10"/>
          <w:lang w:val="fr-CA"/>
        </w:rPr>
      </w:pPr>
    </w:p>
    <w:p w:rsidR="009B1774" w:rsidRPr="009B1774" w:rsidRDefault="009B1774" w:rsidP="009B1774">
      <w:pPr>
        <w:pStyle w:val="ListParagraph"/>
        <w:numPr>
          <w:ilvl w:val="0"/>
          <w:numId w:val="16"/>
        </w:numPr>
        <w:ind w:left="426"/>
        <w:rPr>
          <w:lang w:val="fr-CA"/>
        </w:rPr>
      </w:pPr>
      <w:r w:rsidRPr="009B1774">
        <w:rPr>
          <w:b/>
          <w:lang w:val="fr-CA"/>
        </w:rPr>
        <w:t>Innovation et pertinence</w:t>
      </w:r>
      <w:r w:rsidRPr="009B1774">
        <w:rPr>
          <w:lang w:val="fr-CA"/>
        </w:rPr>
        <w:t xml:space="preserve"> – La recherche comble-t-elle une lacune dans les connaissances actuelles en matière de santé publique?</w:t>
      </w:r>
    </w:p>
    <w:p w:rsidR="009B1774" w:rsidRPr="009B1774" w:rsidRDefault="009B1774" w:rsidP="009B1774">
      <w:pPr>
        <w:pStyle w:val="ListParagraph"/>
        <w:numPr>
          <w:ilvl w:val="0"/>
          <w:numId w:val="16"/>
        </w:numPr>
        <w:ind w:left="426"/>
        <w:rPr>
          <w:lang w:val="fr-CA"/>
        </w:rPr>
      </w:pPr>
      <w:r w:rsidRPr="009B1774">
        <w:rPr>
          <w:b/>
          <w:lang w:val="fr-CA"/>
        </w:rPr>
        <w:t>Objectifs</w:t>
      </w:r>
      <w:r w:rsidRPr="009B1774">
        <w:rPr>
          <w:lang w:val="fr-CA"/>
        </w:rPr>
        <w:t xml:space="preserve"> – Les objectifs sont-ils clairement énoncés et précisent-ils ce que la recherche vise à accomplir?</w:t>
      </w:r>
    </w:p>
    <w:p w:rsidR="009B1774" w:rsidRPr="009B1774" w:rsidRDefault="009B1774" w:rsidP="009B1774">
      <w:pPr>
        <w:pStyle w:val="ListParagraph"/>
        <w:numPr>
          <w:ilvl w:val="0"/>
          <w:numId w:val="16"/>
        </w:numPr>
        <w:ind w:left="426"/>
        <w:rPr>
          <w:lang w:val="fr-CA"/>
        </w:rPr>
      </w:pPr>
      <w:r w:rsidRPr="009B1774">
        <w:rPr>
          <w:b/>
          <w:lang w:val="fr-CA"/>
        </w:rPr>
        <w:t>Méthodes</w:t>
      </w:r>
      <w:r w:rsidRPr="009B1774">
        <w:rPr>
          <w:lang w:val="fr-CA"/>
        </w:rPr>
        <w:t xml:space="preserve"> – Les méthodes sont-elles clairement décrites et adaptées à l'objectif de l'étude?</w:t>
      </w:r>
    </w:p>
    <w:p w:rsidR="009B1774" w:rsidRPr="009B1774" w:rsidRDefault="009B1774" w:rsidP="009B1774">
      <w:pPr>
        <w:pStyle w:val="ListParagraph"/>
        <w:numPr>
          <w:ilvl w:val="0"/>
          <w:numId w:val="16"/>
        </w:numPr>
        <w:ind w:left="426"/>
        <w:rPr>
          <w:lang w:val="fr-CA"/>
        </w:rPr>
      </w:pPr>
      <w:r w:rsidRPr="009B1774">
        <w:rPr>
          <w:b/>
          <w:lang w:val="fr-CA"/>
        </w:rPr>
        <w:t>Analyse et résultats</w:t>
      </w:r>
      <w:r w:rsidRPr="009B1774">
        <w:rPr>
          <w:lang w:val="fr-CA"/>
        </w:rPr>
        <w:t xml:space="preserve"> – L'analyse des données est-elle bien décrite et appropriée? Les résultats répondent-ils aux objectifs énoncés?</w:t>
      </w:r>
    </w:p>
    <w:p w:rsidR="009B1774" w:rsidRPr="009B1774" w:rsidRDefault="009B1774" w:rsidP="009B1774">
      <w:pPr>
        <w:pStyle w:val="ListParagraph"/>
        <w:numPr>
          <w:ilvl w:val="0"/>
          <w:numId w:val="16"/>
        </w:numPr>
        <w:ind w:left="426"/>
        <w:rPr>
          <w:lang w:val="fr-CA"/>
        </w:rPr>
      </w:pPr>
      <w:r w:rsidRPr="009B1774">
        <w:rPr>
          <w:b/>
          <w:lang w:val="fr-CA"/>
        </w:rPr>
        <w:t>Conclusions</w:t>
      </w:r>
      <w:r w:rsidRPr="009B1774">
        <w:rPr>
          <w:lang w:val="fr-CA"/>
        </w:rPr>
        <w:t xml:space="preserve"> – Les conclusions sont-elles justifiées et logiquement étayées par les résultats et les analyses?</w:t>
      </w:r>
    </w:p>
    <w:p w:rsidR="009B1774" w:rsidRPr="009B1774" w:rsidRDefault="009B1774" w:rsidP="009B1774">
      <w:pPr>
        <w:pStyle w:val="ListParagraph"/>
        <w:numPr>
          <w:ilvl w:val="0"/>
          <w:numId w:val="16"/>
        </w:numPr>
        <w:ind w:left="426"/>
        <w:rPr>
          <w:lang w:val="fr-CA"/>
        </w:rPr>
      </w:pPr>
      <w:r w:rsidRPr="009B1774">
        <w:rPr>
          <w:b/>
          <w:lang w:val="fr-CA"/>
        </w:rPr>
        <w:t>Impact</w:t>
      </w:r>
      <w:r w:rsidRPr="009B1774">
        <w:rPr>
          <w:lang w:val="fr-CA"/>
        </w:rPr>
        <w:t xml:space="preserve"> – L'étude fournit-elle des preuves claires de son impact potentiel ou réel sur la santé publique?</w:t>
      </w:r>
    </w:p>
    <w:p w:rsidR="009B1774" w:rsidRPr="009B1774" w:rsidRDefault="009B1774" w:rsidP="009B1774">
      <w:pPr>
        <w:pStyle w:val="ListParagraph"/>
        <w:numPr>
          <w:ilvl w:val="0"/>
          <w:numId w:val="16"/>
        </w:numPr>
        <w:ind w:left="426"/>
        <w:rPr>
          <w:lang w:val="fr-CA"/>
        </w:rPr>
      </w:pPr>
      <w:r w:rsidRPr="009B1774">
        <w:rPr>
          <w:b/>
          <w:lang w:val="fr-CA"/>
        </w:rPr>
        <w:t>Qualité et clarté globales</w:t>
      </w:r>
      <w:r w:rsidRPr="009B1774">
        <w:rPr>
          <w:lang w:val="fr-CA"/>
        </w:rPr>
        <w:t xml:space="preserve"> – Le résumé est-il bien rédigé et cohérent?</w:t>
      </w:r>
    </w:p>
    <w:p w:rsidR="009B1774" w:rsidRPr="009B1774" w:rsidRDefault="009B1774" w:rsidP="009B1774">
      <w:pPr>
        <w:pStyle w:val="ListParagraph"/>
        <w:numPr>
          <w:ilvl w:val="0"/>
          <w:numId w:val="16"/>
        </w:numPr>
        <w:ind w:left="426"/>
        <w:rPr>
          <w:lang w:val="fr-CA"/>
        </w:rPr>
      </w:pPr>
      <w:r w:rsidRPr="009B1774">
        <w:rPr>
          <w:b/>
          <w:i/>
          <w:lang w:val="fr-CA"/>
        </w:rPr>
        <w:t>Résumé oral Format préféré uniquement</w:t>
      </w:r>
    </w:p>
    <w:p w:rsidR="009B1774" w:rsidRPr="009B1774" w:rsidRDefault="009B1774" w:rsidP="006A1469">
      <w:pPr>
        <w:tabs>
          <w:tab w:val="left" w:pos="360"/>
        </w:tabs>
        <w:spacing w:line="276" w:lineRule="auto"/>
        <w:rPr>
          <w:rFonts w:cstheme="minorHAnsi"/>
          <w:color w:val="000000" w:themeColor="text1"/>
          <w:lang w:val="fr-CA"/>
        </w:rPr>
      </w:pPr>
      <w:r>
        <w:rPr>
          <w:rFonts w:cstheme="minorHAnsi"/>
          <w:b/>
          <w:color w:val="000000" w:themeColor="text1"/>
          <w:lang w:val="fr-CA"/>
        </w:rPr>
        <w:tab/>
        <w:t xml:space="preserve"> </w:t>
      </w:r>
      <w:r w:rsidRPr="009B1774">
        <w:rPr>
          <w:rFonts w:cstheme="minorHAnsi"/>
          <w:b/>
          <w:color w:val="000000" w:themeColor="text1"/>
          <w:lang w:val="fr-CA"/>
        </w:rPr>
        <w:t>Type de présentation recommandé :</w:t>
      </w:r>
      <w:r w:rsidRPr="009B1774">
        <w:rPr>
          <w:rFonts w:cstheme="minorHAnsi"/>
          <w:color w:val="000000" w:themeColor="text1"/>
          <w:lang w:val="fr-CA"/>
        </w:rPr>
        <w:t xml:space="preserve"> présentation orale, présentation par affiche, rejet  </w:t>
      </w:r>
    </w:p>
    <w:p w:rsidR="009B1774" w:rsidRPr="009B1774" w:rsidRDefault="009B1774" w:rsidP="006A1469">
      <w:pPr>
        <w:tabs>
          <w:tab w:val="left" w:pos="360"/>
        </w:tabs>
        <w:spacing w:line="276" w:lineRule="auto"/>
        <w:rPr>
          <w:rFonts w:cstheme="minorHAnsi"/>
          <w:color w:val="000000" w:themeColor="text1"/>
          <w:lang w:val="fr-CA"/>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05"/>
        <w:gridCol w:w="7596"/>
      </w:tblGrid>
      <w:tr w:rsidR="005A2398" w:rsidRPr="005A2398" w:rsidTr="0083197C">
        <w:tc>
          <w:tcPr>
            <w:tcW w:w="2605" w:type="dxa"/>
            <w:tcBorders>
              <w:bottom w:val="single" w:sz="4" w:space="0" w:color="A6A6A6" w:themeColor="background1" w:themeShade="A6"/>
            </w:tcBorders>
          </w:tcPr>
          <w:p w:rsidR="005A2398" w:rsidRPr="005A2398" w:rsidRDefault="009B1774" w:rsidP="005A2398">
            <w:pPr>
              <w:spacing w:before="40" w:after="40"/>
              <w:rPr>
                <w:b/>
              </w:rPr>
            </w:pPr>
            <w:proofErr w:type="spellStart"/>
            <w:r>
              <w:rPr>
                <w:b/>
              </w:rPr>
              <w:t>Étapes</w:t>
            </w:r>
            <w:proofErr w:type="spellEnd"/>
          </w:p>
        </w:tc>
        <w:tc>
          <w:tcPr>
            <w:tcW w:w="7596" w:type="dxa"/>
            <w:tcBorders>
              <w:bottom w:val="single" w:sz="4" w:space="0" w:color="A6A6A6" w:themeColor="background1" w:themeShade="A6"/>
            </w:tcBorders>
          </w:tcPr>
          <w:p w:rsidR="005A2398" w:rsidRPr="005A2398" w:rsidRDefault="005A2398" w:rsidP="009B1774">
            <w:pPr>
              <w:spacing w:before="40" w:after="40"/>
              <w:rPr>
                <w:b/>
              </w:rPr>
            </w:pPr>
            <w:proofErr w:type="spellStart"/>
            <w:r w:rsidRPr="005A2398">
              <w:rPr>
                <w:b/>
              </w:rPr>
              <w:t>D</w:t>
            </w:r>
            <w:r w:rsidR="009B1774">
              <w:rPr>
                <w:b/>
              </w:rPr>
              <w:t>é</w:t>
            </w:r>
            <w:r w:rsidRPr="005A2398">
              <w:rPr>
                <w:b/>
              </w:rPr>
              <w:t>cisions</w:t>
            </w:r>
            <w:proofErr w:type="spellEnd"/>
          </w:p>
        </w:tc>
      </w:tr>
      <w:tr w:rsidR="005A2398" w:rsidRPr="00621F1F" w:rsidTr="0083197C">
        <w:tc>
          <w:tcPr>
            <w:tcW w:w="2605" w:type="dxa"/>
            <w:tcBorders>
              <w:top w:val="single" w:sz="4" w:space="0" w:color="A6A6A6" w:themeColor="background1" w:themeShade="A6"/>
            </w:tcBorders>
          </w:tcPr>
          <w:p w:rsidR="005A2398" w:rsidRPr="005A2398" w:rsidRDefault="005A2398" w:rsidP="009B1774">
            <w:pPr>
              <w:spacing w:before="40" w:after="40"/>
            </w:pPr>
            <w:r w:rsidRPr="005A2398">
              <w:t xml:space="preserve">1. </w:t>
            </w:r>
            <w:r w:rsidR="009B1774">
              <w:t xml:space="preserve">Trio </w:t>
            </w:r>
            <w:proofErr w:type="spellStart"/>
            <w:r w:rsidR="009B1774">
              <w:t>d’évaluateurs</w:t>
            </w:r>
            <w:proofErr w:type="spellEnd"/>
          </w:p>
        </w:tc>
        <w:tc>
          <w:tcPr>
            <w:tcW w:w="7596" w:type="dxa"/>
            <w:tcBorders>
              <w:top w:val="single" w:sz="4" w:space="0" w:color="A6A6A6" w:themeColor="background1" w:themeShade="A6"/>
            </w:tcBorders>
          </w:tcPr>
          <w:p w:rsidR="005A2398" w:rsidRPr="009B1774" w:rsidRDefault="009B1774" w:rsidP="00B37E84">
            <w:pPr>
              <w:spacing w:before="40" w:after="40"/>
              <w:rPr>
                <w:lang w:val="fr-CA"/>
              </w:rPr>
            </w:pPr>
            <w:r w:rsidRPr="009B1774">
              <w:rPr>
                <w:lang w:val="fr-CA"/>
              </w:rPr>
              <w:t>Trois évaluateurs examineront chaque résumé et décideront s'il doit faire l'objet d'une présentation orale, d'une présentation par affiche ou s'il doit être rejeté. La décision prise à la majorité sera définitive (par exemple, deux évaluateurs acceptent = accepté et pris en considération pour une présentation orale, deux rejets = rejeté).</w:t>
            </w:r>
            <w:r w:rsidR="005A2398" w:rsidRPr="009B1774">
              <w:rPr>
                <w:lang w:val="fr-CA"/>
              </w:rPr>
              <w:t xml:space="preserve"> </w:t>
            </w:r>
          </w:p>
        </w:tc>
      </w:tr>
      <w:tr w:rsidR="005A2398" w:rsidRPr="00621F1F" w:rsidTr="0083197C">
        <w:tc>
          <w:tcPr>
            <w:tcW w:w="2605" w:type="dxa"/>
          </w:tcPr>
          <w:p w:rsidR="005A2398" w:rsidRPr="001938E9" w:rsidRDefault="005A2398" w:rsidP="001938E9">
            <w:pPr>
              <w:spacing w:before="40" w:after="40"/>
              <w:rPr>
                <w:lang w:val="fr-CA"/>
              </w:rPr>
            </w:pPr>
            <w:r w:rsidRPr="001938E9">
              <w:rPr>
                <w:lang w:val="fr-CA"/>
              </w:rPr>
              <w:t xml:space="preserve">2. </w:t>
            </w:r>
            <w:r w:rsidR="001938E9" w:rsidRPr="001938E9">
              <w:rPr>
                <w:lang w:val="fr-CA"/>
              </w:rPr>
              <w:t xml:space="preserve">Préférence pour une </w:t>
            </w:r>
            <w:r w:rsidR="001938E9">
              <w:rPr>
                <w:lang w:val="fr-CA"/>
              </w:rPr>
              <w:t>pré</w:t>
            </w:r>
            <w:r w:rsidR="001938E9" w:rsidRPr="001938E9">
              <w:rPr>
                <w:lang w:val="fr-CA"/>
              </w:rPr>
              <w:t>sentation d’affiche</w:t>
            </w:r>
          </w:p>
        </w:tc>
        <w:tc>
          <w:tcPr>
            <w:tcW w:w="7596" w:type="dxa"/>
          </w:tcPr>
          <w:p w:rsidR="005A2398" w:rsidRPr="001938E9" w:rsidRDefault="001938E9" w:rsidP="005A2398">
            <w:pPr>
              <w:spacing w:before="40" w:after="40"/>
              <w:rPr>
                <w:lang w:val="fr-CA"/>
              </w:rPr>
            </w:pPr>
            <w:r w:rsidRPr="001938E9">
              <w:rPr>
                <w:lang w:val="fr-CA"/>
              </w:rPr>
              <w:t>Si l'auteur a demandé une présentation par affiche, cette demande sera respectée et le résumé ne pourra pas être pris en considération pour une présentation orale.</w:t>
            </w:r>
          </w:p>
        </w:tc>
      </w:tr>
      <w:tr w:rsidR="005A2398" w:rsidRPr="005A2398" w:rsidTr="0083197C">
        <w:tc>
          <w:tcPr>
            <w:tcW w:w="2605" w:type="dxa"/>
          </w:tcPr>
          <w:p w:rsidR="005A2398" w:rsidRPr="005A2398" w:rsidRDefault="005A2398" w:rsidP="001938E9">
            <w:pPr>
              <w:spacing w:before="40" w:after="40"/>
            </w:pPr>
            <w:r w:rsidRPr="005A2398">
              <w:t xml:space="preserve">3. </w:t>
            </w:r>
            <w:proofErr w:type="spellStart"/>
            <w:r w:rsidR="001938E9">
              <w:t>Seuil</w:t>
            </w:r>
            <w:proofErr w:type="spellEnd"/>
            <w:r w:rsidR="001938E9">
              <w:t xml:space="preserve"> </w:t>
            </w:r>
            <w:proofErr w:type="spellStart"/>
            <w:r w:rsidR="001938E9">
              <w:t>d’inclusion</w:t>
            </w:r>
            <w:proofErr w:type="spellEnd"/>
          </w:p>
        </w:tc>
        <w:tc>
          <w:tcPr>
            <w:tcW w:w="7596" w:type="dxa"/>
          </w:tcPr>
          <w:p w:rsidR="005A2398" w:rsidRPr="005A2398" w:rsidRDefault="001938E9" w:rsidP="005A2398">
            <w:pPr>
              <w:spacing w:before="40" w:after="40"/>
            </w:pPr>
            <w:r w:rsidRPr="001938E9">
              <w:rPr>
                <w:lang w:val="fr-CA"/>
              </w:rPr>
              <w:t xml:space="preserve">Le programme de la conférence ne peut accepter qu'un certain nombre de résumés. La note moyenne attribuée par les évaluateurs sera utilisée pour classer tous les résumés acceptés, et les résumés ayant obtenu les notes les plus élevées au-delà du seuil de capacité seront sélectionnés pour une présentation par affiche. </w:t>
            </w:r>
            <w:proofErr w:type="spellStart"/>
            <w:r w:rsidRPr="001938E9">
              <w:t>Tous</w:t>
            </w:r>
            <w:proofErr w:type="spellEnd"/>
            <w:r w:rsidRPr="001938E9">
              <w:t xml:space="preserve"> les </w:t>
            </w:r>
            <w:proofErr w:type="spellStart"/>
            <w:r w:rsidRPr="001938E9">
              <w:t>autres</w:t>
            </w:r>
            <w:proofErr w:type="spellEnd"/>
            <w:r w:rsidRPr="001938E9">
              <w:t xml:space="preserve"> résumés </w:t>
            </w:r>
            <w:proofErr w:type="spellStart"/>
            <w:r w:rsidRPr="001938E9">
              <w:t>seront</w:t>
            </w:r>
            <w:proofErr w:type="spellEnd"/>
            <w:r w:rsidRPr="001938E9">
              <w:t xml:space="preserve"> </w:t>
            </w:r>
            <w:proofErr w:type="spellStart"/>
            <w:r w:rsidRPr="001938E9">
              <w:t>exclus</w:t>
            </w:r>
            <w:proofErr w:type="spellEnd"/>
            <w:r w:rsidRPr="001938E9">
              <w:t xml:space="preserve"> de la </w:t>
            </w:r>
            <w:proofErr w:type="spellStart"/>
            <w:r w:rsidRPr="001938E9">
              <w:t>conférence</w:t>
            </w:r>
            <w:proofErr w:type="spellEnd"/>
            <w:r w:rsidRPr="001938E9">
              <w:t>.</w:t>
            </w:r>
            <w:r w:rsidR="005A2398" w:rsidRPr="005A2398">
              <w:t xml:space="preserve"> </w:t>
            </w:r>
          </w:p>
        </w:tc>
      </w:tr>
      <w:tr w:rsidR="005A2398" w:rsidRPr="00621F1F" w:rsidTr="0083197C">
        <w:tc>
          <w:tcPr>
            <w:tcW w:w="2605" w:type="dxa"/>
          </w:tcPr>
          <w:p w:rsidR="005A2398" w:rsidRPr="001938E9" w:rsidRDefault="005A2398" w:rsidP="001938E9">
            <w:pPr>
              <w:spacing w:before="40" w:after="40"/>
              <w:rPr>
                <w:lang w:val="fr-CA"/>
              </w:rPr>
            </w:pPr>
            <w:r w:rsidRPr="001938E9">
              <w:rPr>
                <w:lang w:val="fr-CA"/>
              </w:rPr>
              <w:t xml:space="preserve">4. </w:t>
            </w:r>
            <w:r w:rsidR="001938E9" w:rsidRPr="001938E9">
              <w:rPr>
                <w:lang w:val="fr-CA"/>
              </w:rPr>
              <w:t>Note préférentielle pour les r</w:t>
            </w:r>
            <w:r w:rsidR="001938E9">
              <w:rPr>
                <w:lang w:val="fr-CA"/>
              </w:rPr>
              <w:t>ésumés oraux</w:t>
            </w:r>
          </w:p>
        </w:tc>
        <w:tc>
          <w:tcPr>
            <w:tcW w:w="7596" w:type="dxa"/>
          </w:tcPr>
          <w:p w:rsidR="005A2398" w:rsidRPr="001938E9" w:rsidRDefault="001938E9" w:rsidP="00752B67">
            <w:pPr>
              <w:spacing w:before="40" w:after="40"/>
              <w:rPr>
                <w:lang w:val="fr-CA"/>
              </w:rPr>
            </w:pPr>
            <w:r w:rsidRPr="001938E9">
              <w:rPr>
                <w:lang w:val="fr-CA"/>
              </w:rPr>
              <w:t>Si les évaluateurs ont des opinions divergentes (par exemple, un évaluateur accepte et recommande une présentation orale, un autre une présentation par affiche et un autre rejette), la notation sera utilisée pour guider la sélection en fonction du seuil d'acceptation. Les présidents scientifiques procéderont à un examen plus approfondi et à la sélection finale.</w:t>
            </w:r>
            <w:r w:rsidR="00752B67" w:rsidRPr="001938E9">
              <w:rPr>
                <w:lang w:val="fr-CA"/>
              </w:rPr>
              <w:t xml:space="preserve"> </w:t>
            </w:r>
          </w:p>
        </w:tc>
      </w:tr>
      <w:tr w:rsidR="005A2398" w:rsidRPr="00621F1F" w:rsidTr="0083197C">
        <w:tc>
          <w:tcPr>
            <w:tcW w:w="2605" w:type="dxa"/>
          </w:tcPr>
          <w:p w:rsidR="005A2398" w:rsidRPr="00D067C9" w:rsidRDefault="005A2398" w:rsidP="00D067C9">
            <w:pPr>
              <w:spacing w:before="40" w:after="40"/>
              <w:rPr>
                <w:lang w:val="fr-CA"/>
              </w:rPr>
            </w:pPr>
            <w:r w:rsidRPr="00D067C9">
              <w:rPr>
                <w:lang w:val="fr-CA"/>
              </w:rPr>
              <w:t xml:space="preserve">5. </w:t>
            </w:r>
            <w:r w:rsidR="001938E9" w:rsidRPr="00D067C9">
              <w:rPr>
                <w:lang w:val="fr-CA"/>
              </w:rPr>
              <w:t xml:space="preserve">Décision finale du comité </w:t>
            </w:r>
            <w:r w:rsidR="00D067C9">
              <w:rPr>
                <w:lang w:val="fr-CA"/>
              </w:rPr>
              <w:t>directeur</w:t>
            </w:r>
          </w:p>
        </w:tc>
        <w:tc>
          <w:tcPr>
            <w:tcW w:w="7596" w:type="dxa"/>
          </w:tcPr>
          <w:p w:rsidR="005A2398" w:rsidRPr="001938E9" w:rsidRDefault="00D067C9" w:rsidP="00D067C9">
            <w:pPr>
              <w:spacing w:before="40" w:after="40"/>
              <w:rPr>
                <w:color w:val="C00000"/>
                <w:lang w:val="fr-CA"/>
              </w:rPr>
            </w:pPr>
            <w:r>
              <w:rPr>
                <w:lang w:val="fr-CA"/>
              </w:rPr>
              <w:t>L</w:t>
            </w:r>
            <w:r w:rsidR="001938E9" w:rsidRPr="00D067C9">
              <w:rPr>
                <w:lang w:val="fr-CA"/>
              </w:rPr>
              <w:t xml:space="preserve">e comité </w:t>
            </w:r>
            <w:r>
              <w:rPr>
                <w:lang w:val="fr-CA"/>
              </w:rPr>
              <w:t>directeur</w:t>
            </w:r>
            <w:r w:rsidR="001938E9" w:rsidRPr="001938E9">
              <w:rPr>
                <w:lang w:val="fr-CA"/>
              </w:rPr>
              <w:t xml:space="preserve"> </w:t>
            </w:r>
            <w:proofErr w:type="gramStart"/>
            <w:r w:rsidR="001938E9" w:rsidRPr="001938E9">
              <w:rPr>
                <w:lang w:val="fr-CA"/>
              </w:rPr>
              <w:t>superviseront</w:t>
            </w:r>
            <w:proofErr w:type="gramEnd"/>
            <w:r w:rsidR="001938E9" w:rsidRPr="001938E9">
              <w:rPr>
                <w:lang w:val="fr-CA"/>
              </w:rPr>
              <w:t xml:space="preserve"> le processus afin de vérifier son équité et procéderont à un examen plus approfondi dans les cas où l'algorithme de sélection ne peut être appliqué ou lorsqu'une décision finale est nécessaire.</w:t>
            </w:r>
            <w:r w:rsidR="00752B67" w:rsidRPr="001938E9">
              <w:rPr>
                <w:color w:val="000000" w:themeColor="text1"/>
                <w:lang w:val="fr-CA"/>
              </w:rPr>
              <w:t xml:space="preserve">   </w:t>
            </w:r>
            <w:r w:rsidR="00752B67" w:rsidRPr="001938E9">
              <w:rPr>
                <w:color w:val="C00000"/>
                <w:lang w:val="fr-CA"/>
              </w:rPr>
              <w:t xml:space="preserve"> </w:t>
            </w:r>
          </w:p>
        </w:tc>
      </w:tr>
      <w:tr w:rsidR="005A2398" w:rsidRPr="00621F1F" w:rsidTr="0083197C">
        <w:tc>
          <w:tcPr>
            <w:tcW w:w="2605" w:type="dxa"/>
          </w:tcPr>
          <w:p w:rsidR="005A2398" w:rsidRPr="005A2398" w:rsidRDefault="005A2398" w:rsidP="0083197C">
            <w:pPr>
              <w:spacing w:before="40" w:after="40"/>
            </w:pPr>
            <w:r w:rsidRPr="005A2398">
              <w:t xml:space="preserve">6. Communication </w:t>
            </w:r>
            <w:r w:rsidR="0083197C">
              <w:t>des</w:t>
            </w:r>
            <w:r w:rsidRPr="005A2398">
              <w:t xml:space="preserve"> </w:t>
            </w:r>
            <w:proofErr w:type="spellStart"/>
            <w:r w:rsidR="0083197C">
              <w:t>résultats</w:t>
            </w:r>
            <w:proofErr w:type="spellEnd"/>
          </w:p>
        </w:tc>
        <w:tc>
          <w:tcPr>
            <w:tcW w:w="7596" w:type="dxa"/>
          </w:tcPr>
          <w:p w:rsidR="005A2398" w:rsidRPr="001938E9" w:rsidRDefault="001938E9" w:rsidP="00621F1F">
            <w:pPr>
              <w:spacing w:before="40" w:after="40"/>
              <w:rPr>
                <w:lang w:val="fr-CA"/>
              </w:rPr>
            </w:pPr>
            <w:r w:rsidRPr="001938E9">
              <w:rPr>
                <w:lang w:val="fr-CA"/>
              </w:rPr>
              <w:t xml:space="preserve">Une fois le processus terminé, les auteurs seront informés de la décision finale avant le </w:t>
            </w:r>
            <w:r w:rsidR="00621F1F">
              <w:rPr>
                <w:lang w:val="fr-CA"/>
              </w:rPr>
              <w:t>mercredi 17 décembre</w:t>
            </w:r>
            <w:r w:rsidRPr="001938E9">
              <w:rPr>
                <w:lang w:val="fr-CA"/>
              </w:rPr>
              <w:t>.</w:t>
            </w:r>
            <w:r w:rsidR="006A1469" w:rsidRPr="001938E9">
              <w:rPr>
                <w:lang w:val="fr-CA"/>
              </w:rPr>
              <w:t xml:space="preserve"> </w:t>
            </w:r>
          </w:p>
        </w:tc>
      </w:tr>
      <w:tr w:rsidR="006A1469" w:rsidRPr="00621F1F" w:rsidTr="0083197C">
        <w:tc>
          <w:tcPr>
            <w:tcW w:w="2605" w:type="dxa"/>
          </w:tcPr>
          <w:p w:rsidR="006A1469" w:rsidRPr="005A2398" w:rsidRDefault="006A1469" w:rsidP="001938E9">
            <w:pPr>
              <w:spacing w:before="40" w:after="40"/>
            </w:pPr>
            <w:r>
              <w:t xml:space="preserve">7. </w:t>
            </w:r>
            <w:r w:rsidR="001938E9">
              <w:t>Inscription</w:t>
            </w:r>
          </w:p>
        </w:tc>
        <w:tc>
          <w:tcPr>
            <w:tcW w:w="7596" w:type="dxa"/>
          </w:tcPr>
          <w:p w:rsidR="006A1469" w:rsidRPr="001938E9" w:rsidRDefault="001938E9" w:rsidP="00D067C9">
            <w:pPr>
              <w:spacing w:before="40" w:after="40"/>
              <w:rPr>
                <w:lang w:val="fr-CA"/>
              </w:rPr>
            </w:pPr>
            <w:r w:rsidRPr="001938E9">
              <w:rPr>
                <w:lang w:val="fr-CA"/>
              </w:rPr>
              <w:t xml:space="preserve">Tous les auteurs qui présentent à la conférence doivent être inscrits pour au moins une journée de la conférence avant le </w:t>
            </w:r>
            <w:r w:rsidR="00D067C9">
              <w:rPr>
                <w:lang w:val="fr-CA"/>
              </w:rPr>
              <w:t>mercredi 11</w:t>
            </w:r>
            <w:bookmarkStart w:id="0" w:name="_GoBack"/>
            <w:bookmarkEnd w:id="0"/>
            <w:r w:rsidRPr="001938E9">
              <w:rPr>
                <w:lang w:val="fr-CA"/>
              </w:rPr>
              <w:t xml:space="preserve"> février afin d'être inclus dans le programme.</w:t>
            </w:r>
          </w:p>
        </w:tc>
      </w:tr>
    </w:tbl>
    <w:p w:rsidR="0083197C" w:rsidRPr="00621F1F" w:rsidRDefault="0083197C" w:rsidP="005A2398">
      <w:pPr>
        <w:rPr>
          <w:b/>
          <w:lang w:val="fr-CA"/>
        </w:rPr>
      </w:pPr>
    </w:p>
    <w:p w:rsidR="0083197C" w:rsidRPr="00621F1F" w:rsidRDefault="0083197C" w:rsidP="005A2398">
      <w:pPr>
        <w:rPr>
          <w:b/>
          <w:lang w:val="fr-CA"/>
        </w:rPr>
      </w:pPr>
    </w:p>
    <w:p w:rsidR="005A2398" w:rsidRPr="0083197C" w:rsidRDefault="0083197C" w:rsidP="005A2398">
      <w:pPr>
        <w:rPr>
          <w:b/>
          <w:lang w:val="fr-CA"/>
        </w:rPr>
      </w:pPr>
      <w:r w:rsidRPr="0083197C">
        <w:rPr>
          <w:b/>
          <w:lang w:val="fr-CA"/>
        </w:rPr>
        <w:t xml:space="preserve">Titre </w:t>
      </w:r>
      <w:r w:rsidR="005A2398" w:rsidRPr="0083197C">
        <w:rPr>
          <w:b/>
          <w:lang w:val="fr-CA"/>
        </w:rPr>
        <w:t xml:space="preserve">: </w:t>
      </w:r>
    </w:p>
    <w:p w:rsidR="0083197C" w:rsidRPr="0083197C" w:rsidRDefault="0083197C" w:rsidP="0083197C">
      <w:pPr>
        <w:rPr>
          <w:i/>
          <w:lang w:val="fr-CA"/>
        </w:rPr>
      </w:pPr>
      <w:r w:rsidRPr="0083197C">
        <w:rPr>
          <w:i/>
          <w:lang w:val="fr-CA"/>
        </w:rPr>
        <w:t>Utilisez un titre court et concis pour résumer le contenu du résumé. N'utilisez pas d'acronymes ni d'abréviations.</w:t>
      </w:r>
    </w:p>
    <w:p w:rsidR="0083197C" w:rsidRPr="0083197C" w:rsidRDefault="0083197C" w:rsidP="0083197C">
      <w:pPr>
        <w:rPr>
          <w:i/>
          <w:lang w:val="fr-CA"/>
        </w:rPr>
      </w:pPr>
    </w:p>
    <w:p w:rsidR="0083197C" w:rsidRPr="0083197C" w:rsidRDefault="0083197C" w:rsidP="0083197C">
      <w:pPr>
        <w:rPr>
          <w:i/>
          <w:lang w:val="fr-CA"/>
        </w:rPr>
      </w:pPr>
    </w:p>
    <w:p w:rsidR="0083197C" w:rsidRPr="0083197C" w:rsidRDefault="0083197C" w:rsidP="0083197C">
      <w:pPr>
        <w:rPr>
          <w:lang w:val="fr-CA"/>
        </w:rPr>
      </w:pPr>
      <w:r w:rsidRPr="0083197C">
        <w:rPr>
          <w:b/>
          <w:lang w:val="fr-CA"/>
        </w:rPr>
        <w:t>Contexte / Objectifs de la recherche :</w:t>
      </w:r>
    </w:p>
    <w:p w:rsidR="0083197C" w:rsidRPr="0083197C" w:rsidRDefault="0083197C" w:rsidP="0083197C">
      <w:pPr>
        <w:rPr>
          <w:i/>
          <w:lang w:val="fr-CA"/>
        </w:rPr>
      </w:pPr>
      <w:r w:rsidRPr="0083197C">
        <w:rPr>
          <w:i/>
          <w:lang w:val="fr-CA"/>
        </w:rPr>
        <w:t xml:space="preserve">Décrivez brièvement la justification de l'étude. </w:t>
      </w:r>
      <w:proofErr w:type="gramStart"/>
      <w:r w:rsidRPr="0083197C">
        <w:rPr>
          <w:i/>
          <w:lang w:val="fr-CA"/>
        </w:rPr>
        <w:t>Indiquez le</w:t>
      </w:r>
      <w:proofErr w:type="gramEnd"/>
      <w:r w:rsidRPr="0083197C">
        <w:rPr>
          <w:i/>
          <w:lang w:val="fr-CA"/>
        </w:rPr>
        <w:t xml:space="preserve"> ou les principaux objectifs de l'étude.</w:t>
      </w:r>
    </w:p>
    <w:p w:rsidR="0083197C" w:rsidRPr="0083197C" w:rsidRDefault="0083197C" w:rsidP="0083197C">
      <w:pPr>
        <w:rPr>
          <w:i/>
          <w:lang w:val="fr-CA"/>
        </w:rPr>
      </w:pPr>
    </w:p>
    <w:p w:rsidR="0083197C" w:rsidRPr="0083197C" w:rsidRDefault="0083197C" w:rsidP="0083197C">
      <w:pPr>
        <w:rPr>
          <w:i/>
          <w:lang w:val="fr-CA"/>
        </w:rPr>
      </w:pPr>
    </w:p>
    <w:p w:rsidR="0083197C" w:rsidRPr="0083197C" w:rsidRDefault="0083197C" w:rsidP="0083197C">
      <w:pPr>
        <w:rPr>
          <w:b/>
          <w:lang w:val="fr-CA"/>
        </w:rPr>
      </w:pPr>
      <w:r w:rsidRPr="0083197C">
        <w:rPr>
          <w:b/>
          <w:lang w:val="fr-CA"/>
        </w:rPr>
        <w:t>Méthodes :</w:t>
      </w:r>
    </w:p>
    <w:p w:rsidR="0083197C" w:rsidRPr="0083197C" w:rsidRDefault="0083197C" w:rsidP="0083197C">
      <w:pPr>
        <w:rPr>
          <w:i/>
          <w:lang w:val="fr-CA"/>
        </w:rPr>
      </w:pPr>
      <w:r w:rsidRPr="0083197C">
        <w:rPr>
          <w:i/>
          <w:lang w:val="fr-CA"/>
        </w:rPr>
        <w:t xml:space="preserve">Décrivez les méthodes de recherche. </w:t>
      </w:r>
    </w:p>
    <w:p w:rsidR="0083197C" w:rsidRPr="0083197C" w:rsidRDefault="0083197C" w:rsidP="0083197C">
      <w:pPr>
        <w:rPr>
          <w:i/>
          <w:lang w:val="fr-CA"/>
        </w:rPr>
      </w:pPr>
    </w:p>
    <w:p w:rsidR="0083197C" w:rsidRPr="0083197C" w:rsidRDefault="0083197C" w:rsidP="0083197C">
      <w:pPr>
        <w:rPr>
          <w:i/>
          <w:lang w:val="fr-CA"/>
        </w:rPr>
      </w:pPr>
    </w:p>
    <w:p w:rsidR="0083197C" w:rsidRPr="0083197C" w:rsidRDefault="0083197C" w:rsidP="0083197C">
      <w:pPr>
        <w:rPr>
          <w:b/>
          <w:lang w:val="fr-CA"/>
        </w:rPr>
      </w:pPr>
      <w:r w:rsidRPr="0083197C">
        <w:rPr>
          <w:b/>
          <w:lang w:val="fr-CA"/>
        </w:rPr>
        <w:t>Résultats et analyse :</w:t>
      </w:r>
    </w:p>
    <w:p w:rsidR="0083197C" w:rsidRPr="0083197C" w:rsidRDefault="0083197C" w:rsidP="0083197C">
      <w:pPr>
        <w:rPr>
          <w:i/>
          <w:lang w:val="fr-CA"/>
        </w:rPr>
      </w:pPr>
      <w:r w:rsidRPr="0083197C">
        <w:rPr>
          <w:i/>
          <w:lang w:val="fr-CA"/>
        </w:rPr>
        <w:t>Présentez les principaux résultats et l'analyse statistique.</w:t>
      </w:r>
    </w:p>
    <w:p w:rsidR="0083197C" w:rsidRPr="0083197C" w:rsidRDefault="0083197C" w:rsidP="0083197C">
      <w:pPr>
        <w:rPr>
          <w:i/>
          <w:lang w:val="fr-CA"/>
        </w:rPr>
      </w:pPr>
    </w:p>
    <w:p w:rsidR="0083197C" w:rsidRPr="0083197C" w:rsidRDefault="0083197C" w:rsidP="0083197C">
      <w:pPr>
        <w:rPr>
          <w:i/>
          <w:lang w:val="fr-CA"/>
        </w:rPr>
      </w:pPr>
    </w:p>
    <w:p w:rsidR="0083197C" w:rsidRPr="0083197C" w:rsidRDefault="0083197C" w:rsidP="0083197C">
      <w:pPr>
        <w:rPr>
          <w:b/>
          <w:lang w:val="fr-CA"/>
        </w:rPr>
      </w:pPr>
      <w:r w:rsidRPr="0083197C">
        <w:rPr>
          <w:b/>
          <w:lang w:val="fr-CA"/>
        </w:rPr>
        <w:t>Conclusions et implications pour les politiques, les pratiques ou les recherches supplémentaires :</w:t>
      </w:r>
    </w:p>
    <w:p w:rsidR="0083197C" w:rsidRPr="0083197C" w:rsidRDefault="0083197C" w:rsidP="0083197C">
      <w:pPr>
        <w:rPr>
          <w:i/>
          <w:lang w:val="fr-CA"/>
        </w:rPr>
      </w:pPr>
      <w:r w:rsidRPr="0083197C">
        <w:rPr>
          <w:i/>
          <w:lang w:val="fr-CA"/>
        </w:rPr>
        <w:t>Incluez la conclusion principale et l'interprétation des résultats.</w:t>
      </w:r>
    </w:p>
    <w:p w:rsidR="00856BCE" w:rsidRPr="00621F1F" w:rsidRDefault="00856BCE">
      <w:pPr>
        <w:rPr>
          <w:lang w:val="fr-CA"/>
        </w:rPr>
      </w:pPr>
    </w:p>
    <w:p w:rsidR="00AB7906" w:rsidRPr="00621F1F" w:rsidRDefault="00AB7906" w:rsidP="00AB7906">
      <w:pPr>
        <w:rPr>
          <w:sz w:val="12"/>
          <w:szCs w:val="12"/>
          <w:lang w:val="fr-CA"/>
        </w:rPr>
      </w:pPr>
    </w:p>
    <w:p w:rsidR="008879FE" w:rsidRPr="00621F1F" w:rsidRDefault="008879FE" w:rsidP="008879FE">
      <w:pPr>
        <w:rPr>
          <w:lang w:val="fr-CA"/>
        </w:rPr>
      </w:pPr>
    </w:p>
    <w:sectPr w:rsidR="008879FE" w:rsidRPr="00621F1F" w:rsidSect="0083197C">
      <w:headerReference w:type="default" r:id="rId8"/>
      <w:pgSz w:w="12240" w:h="15840"/>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85" w:rsidRDefault="00275485" w:rsidP="00275485">
      <w:r>
        <w:separator/>
      </w:r>
    </w:p>
  </w:endnote>
  <w:endnote w:type="continuationSeparator" w:id="0">
    <w:p w:rsidR="00275485" w:rsidRDefault="00275485" w:rsidP="0027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85" w:rsidRDefault="00275485" w:rsidP="00275485">
      <w:r>
        <w:separator/>
      </w:r>
    </w:p>
  </w:footnote>
  <w:footnote w:type="continuationSeparator" w:id="0">
    <w:p w:rsidR="00275485" w:rsidRDefault="00275485" w:rsidP="0027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98" w:rsidRPr="009B1774" w:rsidRDefault="009B1774" w:rsidP="005A2398">
    <w:pPr>
      <w:pStyle w:val="Header"/>
      <w:spacing w:line="276" w:lineRule="auto"/>
      <w:jc w:val="center"/>
      <w:rPr>
        <w:b/>
        <w:lang w:val="fr-CA"/>
      </w:rPr>
    </w:pPr>
    <w:r w:rsidRPr="009B1774">
      <w:rPr>
        <w:b/>
        <w:lang w:val="fr-CA"/>
      </w:rPr>
      <w:t>MODELE DE PR</w:t>
    </w:r>
    <w:r>
      <w:rPr>
        <w:b/>
        <w:lang w:val="fr-CA"/>
      </w:rPr>
      <w:t>É</w:t>
    </w:r>
    <w:r w:rsidRPr="009B1774">
      <w:rPr>
        <w:b/>
        <w:lang w:val="fr-CA"/>
      </w:rPr>
      <w:t>SENTATION DE RECHE</w:t>
    </w:r>
    <w:r>
      <w:rPr>
        <w:b/>
        <w:lang w:val="fr-CA"/>
      </w:rPr>
      <w:t>RCHE</w:t>
    </w:r>
  </w:p>
  <w:p w:rsidR="0083197C" w:rsidRPr="0083197C" w:rsidRDefault="0083197C" w:rsidP="0083197C">
    <w:pPr>
      <w:tabs>
        <w:tab w:val="center" w:pos="4680"/>
        <w:tab w:val="left" w:pos="9360"/>
      </w:tabs>
      <w:spacing w:line="276" w:lineRule="auto"/>
      <w:jc w:val="center"/>
      <w:rPr>
        <w:b/>
        <w:color w:val="820000"/>
        <w:lang w:val="fr-CA"/>
      </w:rPr>
    </w:pPr>
    <w:r w:rsidRPr="0083197C">
      <w:rPr>
        <w:b/>
        <w:color w:val="820000"/>
        <w:lang w:val="fr-CA"/>
      </w:rPr>
      <w:t>Les soumissions ne doivent pas dépasser une page (hors tableaux/graphiques).</w:t>
    </w:r>
  </w:p>
  <w:p w:rsidR="00D50759" w:rsidRPr="0083197C" w:rsidRDefault="0083197C" w:rsidP="0083197C">
    <w:pPr>
      <w:tabs>
        <w:tab w:val="center" w:pos="4680"/>
        <w:tab w:val="left" w:pos="9360"/>
      </w:tabs>
      <w:spacing w:line="276" w:lineRule="auto"/>
      <w:jc w:val="center"/>
      <w:rPr>
        <w:b/>
        <w:color w:val="820000"/>
        <w:lang w:val="fr-CA"/>
      </w:rPr>
    </w:pPr>
    <w:r w:rsidRPr="0083197C">
      <w:rPr>
        <w:b/>
        <w:color w:val="820000"/>
        <w:lang w:val="fr-CA"/>
      </w:rPr>
      <w:t>À des fins d'évaluation par les pairs, ne mentionnez pas les informations relatives à l'auteur.</w:t>
    </w:r>
  </w:p>
  <w:p w:rsidR="005A2398" w:rsidRPr="0083197C" w:rsidRDefault="005A2398" w:rsidP="005A2398">
    <w:pPr>
      <w:pStyle w:val="Header"/>
      <w:tabs>
        <w:tab w:val="clear" w:pos="4680"/>
        <w:tab w:val="clear" w:pos="9360"/>
        <w:tab w:val="left" w:pos="4050"/>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E0E"/>
    <w:multiLevelType w:val="hybridMultilevel"/>
    <w:tmpl w:val="69FE9E06"/>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961E79"/>
    <w:multiLevelType w:val="hybridMultilevel"/>
    <w:tmpl w:val="2F8A1B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3251452"/>
    <w:multiLevelType w:val="multilevel"/>
    <w:tmpl w:val="7F6E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D2BD4"/>
    <w:multiLevelType w:val="hybridMultilevel"/>
    <w:tmpl w:val="28FEFA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71B2697"/>
    <w:multiLevelType w:val="hybridMultilevel"/>
    <w:tmpl w:val="30407BCE"/>
    <w:lvl w:ilvl="0" w:tplc="8382A9E2">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715D6E"/>
    <w:multiLevelType w:val="hybridMultilevel"/>
    <w:tmpl w:val="43EC0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5E6E3C"/>
    <w:multiLevelType w:val="multilevel"/>
    <w:tmpl w:val="5B3808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5B239B8"/>
    <w:multiLevelType w:val="hybridMultilevel"/>
    <w:tmpl w:val="C290AAC0"/>
    <w:lvl w:ilvl="0" w:tplc="8382A9E2">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B386D05"/>
    <w:multiLevelType w:val="multilevel"/>
    <w:tmpl w:val="6B52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75D68"/>
    <w:multiLevelType w:val="multilevel"/>
    <w:tmpl w:val="5B3808E2"/>
    <w:lvl w:ilvl="0">
      <w:start w:val="1"/>
      <w:numFmt w:val="decimal"/>
      <w:lvlText w:val="%1."/>
      <w:lvlJc w:val="left"/>
      <w:pPr>
        <w:tabs>
          <w:tab w:val="num" w:pos="144"/>
        </w:tabs>
        <w:ind w:left="144" w:hanging="360"/>
      </w:pPr>
    </w:lvl>
    <w:lvl w:ilvl="1" w:tentative="1">
      <w:start w:val="1"/>
      <w:numFmt w:val="decimal"/>
      <w:lvlText w:val="%2."/>
      <w:lvlJc w:val="left"/>
      <w:pPr>
        <w:tabs>
          <w:tab w:val="num" w:pos="864"/>
        </w:tabs>
        <w:ind w:left="864" w:hanging="360"/>
      </w:pPr>
    </w:lvl>
    <w:lvl w:ilvl="2" w:tentative="1">
      <w:start w:val="1"/>
      <w:numFmt w:val="decimal"/>
      <w:lvlText w:val="%3."/>
      <w:lvlJc w:val="left"/>
      <w:pPr>
        <w:tabs>
          <w:tab w:val="num" w:pos="1584"/>
        </w:tabs>
        <w:ind w:left="1584" w:hanging="360"/>
      </w:pPr>
    </w:lvl>
    <w:lvl w:ilvl="3" w:tentative="1">
      <w:start w:val="1"/>
      <w:numFmt w:val="decimal"/>
      <w:lvlText w:val="%4."/>
      <w:lvlJc w:val="left"/>
      <w:pPr>
        <w:tabs>
          <w:tab w:val="num" w:pos="2304"/>
        </w:tabs>
        <w:ind w:left="2304" w:hanging="360"/>
      </w:pPr>
    </w:lvl>
    <w:lvl w:ilvl="4" w:tentative="1">
      <w:start w:val="1"/>
      <w:numFmt w:val="decimal"/>
      <w:lvlText w:val="%5."/>
      <w:lvlJc w:val="left"/>
      <w:pPr>
        <w:tabs>
          <w:tab w:val="num" w:pos="3024"/>
        </w:tabs>
        <w:ind w:left="3024" w:hanging="360"/>
      </w:pPr>
    </w:lvl>
    <w:lvl w:ilvl="5" w:tentative="1">
      <w:start w:val="1"/>
      <w:numFmt w:val="decimal"/>
      <w:lvlText w:val="%6."/>
      <w:lvlJc w:val="left"/>
      <w:pPr>
        <w:tabs>
          <w:tab w:val="num" w:pos="3744"/>
        </w:tabs>
        <w:ind w:left="3744" w:hanging="360"/>
      </w:pPr>
    </w:lvl>
    <w:lvl w:ilvl="6" w:tentative="1">
      <w:start w:val="1"/>
      <w:numFmt w:val="decimal"/>
      <w:lvlText w:val="%7."/>
      <w:lvlJc w:val="left"/>
      <w:pPr>
        <w:tabs>
          <w:tab w:val="num" w:pos="4464"/>
        </w:tabs>
        <w:ind w:left="4464" w:hanging="360"/>
      </w:pPr>
    </w:lvl>
    <w:lvl w:ilvl="7" w:tentative="1">
      <w:start w:val="1"/>
      <w:numFmt w:val="decimal"/>
      <w:lvlText w:val="%8."/>
      <w:lvlJc w:val="left"/>
      <w:pPr>
        <w:tabs>
          <w:tab w:val="num" w:pos="5184"/>
        </w:tabs>
        <w:ind w:left="5184" w:hanging="360"/>
      </w:pPr>
    </w:lvl>
    <w:lvl w:ilvl="8" w:tentative="1">
      <w:start w:val="1"/>
      <w:numFmt w:val="decimal"/>
      <w:lvlText w:val="%9."/>
      <w:lvlJc w:val="left"/>
      <w:pPr>
        <w:tabs>
          <w:tab w:val="num" w:pos="5904"/>
        </w:tabs>
        <w:ind w:left="5904" w:hanging="360"/>
      </w:pPr>
    </w:lvl>
  </w:abstractNum>
  <w:abstractNum w:abstractNumId="10" w15:restartNumberingAfterBreak="0">
    <w:nsid w:val="5B092E71"/>
    <w:multiLevelType w:val="hybridMultilevel"/>
    <w:tmpl w:val="E5F46F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80713F"/>
    <w:multiLevelType w:val="hybridMultilevel"/>
    <w:tmpl w:val="AD505F7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1B7B50"/>
    <w:multiLevelType w:val="hybridMultilevel"/>
    <w:tmpl w:val="03C265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433FE6"/>
    <w:multiLevelType w:val="multilevel"/>
    <w:tmpl w:val="1F76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C3BC0"/>
    <w:multiLevelType w:val="hybridMultilevel"/>
    <w:tmpl w:val="0184A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CD61D2"/>
    <w:multiLevelType w:val="hybridMultilevel"/>
    <w:tmpl w:val="1376FC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795914C3"/>
    <w:multiLevelType w:val="hybridMultilevel"/>
    <w:tmpl w:val="45D8E8A4"/>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7"/>
  </w:num>
  <w:num w:numId="6">
    <w:abstractNumId w:val="4"/>
  </w:num>
  <w:num w:numId="7">
    <w:abstractNumId w:val="1"/>
  </w:num>
  <w:num w:numId="8">
    <w:abstractNumId w:val="2"/>
  </w:num>
  <w:num w:numId="9">
    <w:abstractNumId w:val="13"/>
  </w:num>
  <w:num w:numId="10">
    <w:abstractNumId w:val="14"/>
  </w:num>
  <w:num w:numId="11">
    <w:abstractNumId w:val="15"/>
  </w:num>
  <w:num w:numId="12">
    <w:abstractNumId w:val="8"/>
  </w:num>
  <w:num w:numId="13">
    <w:abstractNumId w:val="9"/>
  </w:num>
  <w:num w:numId="14">
    <w:abstractNumId w:val="6"/>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85"/>
    <w:rsid w:val="00047A59"/>
    <w:rsid w:val="00083FA9"/>
    <w:rsid w:val="000A6D06"/>
    <w:rsid w:val="001938E9"/>
    <w:rsid w:val="001C0B96"/>
    <w:rsid w:val="001C36F7"/>
    <w:rsid w:val="001E50CE"/>
    <w:rsid w:val="00275485"/>
    <w:rsid w:val="002A3FF4"/>
    <w:rsid w:val="00354A1A"/>
    <w:rsid w:val="003828B1"/>
    <w:rsid w:val="004A0366"/>
    <w:rsid w:val="004E116A"/>
    <w:rsid w:val="005A2398"/>
    <w:rsid w:val="005B5B6D"/>
    <w:rsid w:val="00613E68"/>
    <w:rsid w:val="00621F1F"/>
    <w:rsid w:val="00622ED6"/>
    <w:rsid w:val="006379F6"/>
    <w:rsid w:val="00666B26"/>
    <w:rsid w:val="006A1469"/>
    <w:rsid w:val="006D66B2"/>
    <w:rsid w:val="0070107B"/>
    <w:rsid w:val="00726FBF"/>
    <w:rsid w:val="00752B67"/>
    <w:rsid w:val="007C1178"/>
    <w:rsid w:val="0083197C"/>
    <w:rsid w:val="00856BCE"/>
    <w:rsid w:val="008879FE"/>
    <w:rsid w:val="008B298E"/>
    <w:rsid w:val="00936849"/>
    <w:rsid w:val="00961573"/>
    <w:rsid w:val="00987EBA"/>
    <w:rsid w:val="009B1774"/>
    <w:rsid w:val="00AB2937"/>
    <w:rsid w:val="00AB7906"/>
    <w:rsid w:val="00AD1BA0"/>
    <w:rsid w:val="00B37E84"/>
    <w:rsid w:val="00B70706"/>
    <w:rsid w:val="00B95CC5"/>
    <w:rsid w:val="00C5150D"/>
    <w:rsid w:val="00D067C9"/>
    <w:rsid w:val="00D36B36"/>
    <w:rsid w:val="00D50759"/>
    <w:rsid w:val="00E23D38"/>
    <w:rsid w:val="00F261E9"/>
    <w:rsid w:val="00F55D00"/>
    <w:rsid w:val="00FD6D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E1C2B6"/>
  <w15:chartTrackingRefBased/>
  <w15:docId w15:val="{A215AE76-9B53-497E-AA82-36B97EDD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485"/>
    <w:pPr>
      <w:tabs>
        <w:tab w:val="center" w:pos="4680"/>
        <w:tab w:val="right" w:pos="9360"/>
      </w:tabs>
    </w:pPr>
  </w:style>
  <w:style w:type="character" w:customStyle="1" w:styleId="HeaderChar">
    <w:name w:val="Header Char"/>
    <w:basedOn w:val="DefaultParagraphFont"/>
    <w:link w:val="Header"/>
    <w:uiPriority w:val="99"/>
    <w:rsid w:val="00275485"/>
  </w:style>
  <w:style w:type="paragraph" w:styleId="Footer">
    <w:name w:val="footer"/>
    <w:basedOn w:val="Normal"/>
    <w:link w:val="FooterChar"/>
    <w:uiPriority w:val="99"/>
    <w:unhideWhenUsed/>
    <w:rsid w:val="00275485"/>
    <w:pPr>
      <w:tabs>
        <w:tab w:val="center" w:pos="4680"/>
        <w:tab w:val="right" w:pos="9360"/>
      </w:tabs>
    </w:pPr>
  </w:style>
  <w:style w:type="character" w:customStyle="1" w:styleId="FooterChar">
    <w:name w:val="Footer Char"/>
    <w:basedOn w:val="DefaultParagraphFont"/>
    <w:link w:val="Footer"/>
    <w:uiPriority w:val="99"/>
    <w:rsid w:val="00275485"/>
  </w:style>
  <w:style w:type="paragraph" w:styleId="ListParagraph">
    <w:name w:val="List Paragraph"/>
    <w:basedOn w:val="Normal"/>
    <w:uiPriority w:val="34"/>
    <w:qFormat/>
    <w:rsid w:val="00856BCE"/>
    <w:pPr>
      <w:ind w:left="720"/>
      <w:contextualSpacing/>
    </w:pPr>
  </w:style>
  <w:style w:type="table" w:styleId="TableGrid">
    <w:name w:val="Table Grid"/>
    <w:basedOn w:val="TableNormal"/>
    <w:uiPriority w:val="39"/>
    <w:rsid w:val="005A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6422">
      <w:bodyDiv w:val="1"/>
      <w:marLeft w:val="0"/>
      <w:marRight w:val="0"/>
      <w:marTop w:val="0"/>
      <w:marBottom w:val="0"/>
      <w:divBdr>
        <w:top w:val="none" w:sz="0" w:space="0" w:color="auto"/>
        <w:left w:val="none" w:sz="0" w:space="0" w:color="auto"/>
        <w:bottom w:val="none" w:sz="0" w:space="0" w:color="auto"/>
        <w:right w:val="none" w:sz="0" w:space="0" w:color="auto"/>
      </w:divBdr>
    </w:div>
    <w:div w:id="471562236">
      <w:bodyDiv w:val="1"/>
      <w:marLeft w:val="0"/>
      <w:marRight w:val="0"/>
      <w:marTop w:val="0"/>
      <w:marBottom w:val="0"/>
      <w:divBdr>
        <w:top w:val="none" w:sz="0" w:space="0" w:color="auto"/>
        <w:left w:val="none" w:sz="0" w:space="0" w:color="auto"/>
        <w:bottom w:val="none" w:sz="0" w:space="0" w:color="auto"/>
        <w:right w:val="none" w:sz="0" w:space="0" w:color="auto"/>
      </w:divBdr>
    </w:div>
    <w:div w:id="556937751">
      <w:bodyDiv w:val="1"/>
      <w:marLeft w:val="0"/>
      <w:marRight w:val="0"/>
      <w:marTop w:val="0"/>
      <w:marBottom w:val="0"/>
      <w:divBdr>
        <w:top w:val="none" w:sz="0" w:space="0" w:color="auto"/>
        <w:left w:val="none" w:sz="0" w:space="0" w:color="auto"/>
        <w:bottom w:val="none" w:sz="0" w:space="0" w:color="auto"/>
        <w:right w:val="none" w:sz="0" w:space="0" w:color="auto"/>
      </w:divBdr>
    </w:div>
    <w:div w:id="707872894">
      <w:bodyDiv w:val="1"/>
      <w:marLeft w:val="0"/>
      <w:marRight w:val="0"/>
      <w:marTop w:val="0"/>
      <w:marBottom w:val="0"/>
      <w:divBdr>
        <w:top w:val="none" w:sz="0" w:space="0" w:color="auto"/>
        <w:left w:val="none" w:sz="0" w:space="0" w:color="auto"/>
        <w:bottom w:val="none" w:sz="0" w:space="0" w:color="auto"/>
        <w:right w:val="none" w:sz="0" w:space="0" w:color="auto"/>
      </w:divBdr>
    </w:div>
    <w:div w:id="1410007408">
      <w:bodyDiv w:val="1"/>
      <w:marLeft w:val="0"/>
      <w:marRight w:val="0"/>
      <w:marTop w:val="0"/>
      <w:marBottom w:val="0"/>
      <w:divBdr>
        <w:top w:val="none" w:sz="0" w:space="0" w:color="auto"/>
        <w:left w:val="none" w:sz="0" w:space="0" w:color="auto"/>
        <w:bottom w:val="none" w:sz="0" w:space="0" w:color="auto"/>
        <w:right w:val="none" w:sz="0" w:space="0" w:color="auto"/>
      </w:divBdr>
    </w:div>
    <w:div w:id="1453792036">
      <w:bodyDiv w:val="1"/>
      <w:marLeft w:val="0"/>
      <w:marRight w:val="0"/>
      <w:marTop w:val="0"/>
      <w:marBottom w:val="0"/>
      <w:divBdr>
        <w:top w:val="none" w:sz="0" w:space="0" w:color="auto"/>
        <w:left w:val="none" w:sz="0" w:space="0" w:color="auto"/>
        <w:bottom w:val="none" w:sz="0" w:space="0" w:color="auto"/>
        <w:right w:val="none" w:sz="0" w:space="0" w:color="auto"/>
      </w:divBdr>
    </w:div>
    <w:div w:id="1547327193">
      <w:bodyDiv w:val="1"/>
      <w:marLeft w:val="0"/>
      <w:marRight w:val="0"/>
      <w:marTop w:val="0"/>
      <w:marBottom w:val="0"/>
      <w:divBdr>
        <w:top w:val="none" w:sz="0" w:space="0" w:color="auto"/>
        <w:left w:val="none" w:sz="0" w:space="0" w:color="auto"/>
        <w:bottom w:val="none" w:sz="0" w:space="0" w:color="auto"/>
        <w:right w:val="none" w:sz="0" w:space="0" w:color="auto"/>
      </w:divBdr>
    </w:div>
    <w:div w:id="19629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993A-1DCC-4A8E-B745-D6E129CA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Alexie Natalie Arsenault</dc:creator>
  <cp:keywords/>
  <dc:description/>
  <cp:lastModifiedBy>Alexie Natalie Arsenault</cp:lastModifiedBy>
  <cp:revision>4</cp:revision>
  <dcterms:created xsi:type="dcterms:W3CDTF">2025-09-09T19:39:00Z</dcterms:created>
  <dcterms:modified xsi:type="dcterms:W3CDTF">2025-09-15T19:57:00Z</dcterms:modified>
</cp:coreProperties>
</file>